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_GBK" w:hAnsi="方正小标宋_GBK" w:eastAsia="方正小标宋_GBK" w:cs="方正小标宋_GBK"/>
          <w:strike w:val="0"/>
          <w:dstrike w:val="0"/>
          <w:color w:val="auto"/>
          <w:sz w:val="44"/>
          <w:szCs w:val="44"/>
          <w:lang w:val="en-US" w:eastAsia="zh-CN"/>
        </w:rPr>
      </w:pPr>
      <w:r>
        <w:rPr>
          <w:rFonts w:hint="eastAsia" w:ascii="方正小标宋_GBK" w:hAnsi="方正小标宋_GBK" w:eastAsia="方正小标宋_GBK" w:cs="方正小标宋_GBK"/>
          <w:strike w:val="0"/>
          <w:dstrike w:val="0"/>
          <w:color w:val="auto"/>
          <w:sz w:val="44"/>
          <w:szCs w:val="44"/>
          <w:lang w:val="en-US" w:eastAsia="zh-CN"/>
        </w:rPr>
        <w:t>尚未核定公布为文物保护</w:t>
      </w:r>
    </w:p>
    <w:p>
      <w:pPr>
        <w:pStyle w:val="2"/>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_GBK" w:hAnsi="方正小标宋_GBK" w:eastAsia="方正小标宋_GBK" w:cs="方正小标宋_GBK"/>
          <w:strike w:val="0"/>
          <w:dstrike w:val="0"/>
          <w:color w:val="auto"/>
          <w:sz w:val="44"/>
          <w:szCs w:val="44"/>
          <w:lang w:val="en-US" w:eastAsia="zh-CN"/>
        </w:rPr>
      </w:pPr>
      <w:r>
        <w:rPr>
          <w:rFonts w:hint="eastAsia" w:ascii="方正小标宋_GBK" w:hAnsi="方正小标宋_GBK" w:eastAsia="方正小标宋_GBK" w:cs="方正小标宋_GBK"/>
          <w:strike w:val="0"/>
          <w:dstrike w:val="0"/>
          <w:color w:val="auto"/>
          <w:sz w:val="44"/>
          <w:szCs w:val="44"/>
          <w:lang w:val="en-US" w:eastAsia="zh-CN"/>
        </w:rPr>
        <w:t>单位的不可移动文物修缮审批</w:t>
      </w:r>
    </w:p>
    <w:p>
      <w:pPr>
        <w:rPr>
          <w:rFonts w:hint="eastAsia" w:ascii="方正仿宋_GBK" w:hAnsi="方正仿宋_GBK" w:eastAsia="方正仿宋_GBK" w:cs="方正仿宋_GBK"/>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不可移动文物修缮审批【</w:t>
      </w:r>
      <w:r>
        <w:rPr>
          <w:rFonts w:hint="default" w:ascii="Times New Roman" w:hAnsi="Times New Roman" w:cs="Times New Roman"/>
          <w:sz w:val="32"/>
          <w:szCs w:val="32"/>
        </w:rPr>
        <w:t>00016810500Y</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尚未核定公布为文物保护单位的不可移动文物修缮审批【</w:t>
      </w:r>
      <w:r>
        <w:rPr>
          <w:rFonts w:hint="default" w:ascii="Times New Roman" w:hAnsi="Times New Roman" w:cs="Times New Roman"/>
          <w:sz w:val="32"/>
          <w:szCs w:val="32"/>
        </w:rPr>
        <w:t>000168105005</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sz w:val="32"/>
          <w:szCs w:val="32"/>
          <w:lang w:val="en-US" w:eastAsia="zh-CN"/>
        </w:rPr>
        <w:t>尚未核定公布为文物保护单位的不可移动文物修缮审批【</w:t>
      </w:r>
      <w:r>
        <w:rPr>
          <w:rFonts w:hint="default" w:ascii="Times New Roman" w:hAnsi="Times New Roman" w:eastAsia="宋体" w:cs="Times New Roman"/>
          <w:kern w:val="2"/>
          <w:sz w:val="32"/>
          <w:szCs w:val="32"/>
          <w:lang w:val="en-US" w:eastAsia="zh-CN" w:bidi="ar-SA"/>
        </w:rPr>
        <w:t>00016810500501</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《中华人民共和国文物保护法》第二十一条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《中华人民共和国文物保护法》第二十一条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《文物保护工程管理办法》（文化部令第26号）第十条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《中华人民共和国文物保护法》第八条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《中华人民共和国文物保护法》第六十六条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《文物保护工程管理办法》（文化部令第26号）第十条</w:t>
      </w:r>
    </w:p>
    <w:p>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永德县文化和旅游局</w:t>
      </w:r>
    </w:p>
    <w:p>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尚未核定公布为文物保护单位的不可移动文物修缮审批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1.文物保护工程必须遵守不改变文物原状的原则；</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2.全面地保存、延续文物的真实历史信息和价值；</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3.按照国际、国内公认的准则，保护文物本体及与之相关的历史、人文和自然环境。</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文物保护工程管理办法》（文化部令第26号）第三条文物保护工程必须遵守不改变文物原状的原则，全面地保存、延续文物的真实历史信息和价值；按照国际、国内公认的准则，保护文物本体及与之相关的历史、人文和自然环境。</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sz w:val="32"/>
          <w:szCs w:val="32"/>
        </w:rPr>
        <w:t>《中华人民共和国文物保护法》第二十一条第四款对不可移动文物进行修缮、保养、迁移，必须遵守不改变文物原状的原则。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w:t>
      </w:r>
      <w:r>
        <w:rPr>
          <w:rFonts w:hint="eastAsia" w:ascii="Times New Roman" w:hAnsi="Times New Roman" w:eastAsia="方正仿宋_GBK" w:cs="Times New Roman"/>
          <w:sz w:val="32"/>
          <w:szCs w:val="32"/>
          <w:lang w:val="en-US" w:eastAsia="zh-CN"/>
        </w:rPr>
        <w:t>自然人，企业法人，事业单位法人，社会组织法人，非法人企业，行政机关，其他组织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1.加强巡查和日常监督管理，针对发现的普遍性和突出问题开展专项检查。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2.核查被许可人从事行政许可事项活动情况的有关材料及实施情况。</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3.依法及时处理投诉举报.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4.针对存在的问题，完善管理制度。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申请书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eastAsia"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符合文物保护工程相关技术标准规范的修缮方案和工程设计资料</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《中华人民共和国文物保护法》第二十一条第二款对文物保护单位进行修缮，应当根据文物保护单位的级别报相应的文物行政部门批准。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《文物保护工程管理办法》（文化部令第26号）第十条第二款市县级文物保护单位及未核定为文物保护单位的不可移动文物的保护工程的申报机关、审批机关由省级文物行政部门确定。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val="en-US" w:eastAsia="zh-CN"/>
        </w:rPr>
        <w:t>1.</w:t>
      </w:r>
      <w:r>
        <w:rPr>
          <w:rFonts w:hint="default" w:ascii="Times New Roman" w:hAnsi="Times New Roman" w:eastAsia="方正仿宋_GBK" w:cs="Times New Roman"/>
          <w:color w:val="000000"/>
          <w:sz w:val="32"/>
          <w:szCs w:val="32"/>
        </w:rPr>
        <w:t>受理</w:t>
      </w:r>
      <w:r>
        <w:rPr>
          <w:rFonts w:hint="eastAsia" w:ascii="Times New Roman" w:hAnsi="Times New Roman" w:eastAsia="方正仿宋_GBK" w:cs="Times New Roman"/>
          <w:color w:val="000000"/>
          <w:sz w:val="32"/>
          <w:szCs w:val="32"/>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2.</w:t>
      </w:r>
      <w:r>
        <w:rPr>
          <w:rFonts w:hint="default" w:ascii="Times New Roman" w:hAnsi="Times New Roman" w:eastAsia="方正仿宋_GBK" w:cs="Times New Roman"/>
          <w:color w:val="000000"/>
          <w:sz w:val="32"/>
          <w:szCs w:val="32"/>
        </w:rPr>
        <w:t>审查；</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现场勘验（部分情况下开展）；</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4.</w:t>
      </w:r>
      <w:r>
        <w:rPr>
          <w:rFonts w:hint="default" w:ascii="Times New Roman" w:hAnsi="Times New Roman" w:eastAsia="方正仿宋_GBK" w:cs="Times New Roman"/>
          <w:color w:val="000000"/>
          <w:sz w:val="32"/>
          <w:szCs w:val="32"/>
        </w:rPr>
        <w:t>专家评审；</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rPr>
        <w:t>作出许可决定。</w:t>
      </w:r>
    </w:p>
    <w:p>
      <w:pPr>
        <w:numPr>
          <w:ilvl w:val="0"/>
          <w:numId w:val="0"/>
        </w:numPr>
        <w:spacing w:line="600" w:lineRule="exact"/>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《中华人民共和国文物保护法》第二十一条第二款对文物保护单位进行修缮，应当根据文物保护单位的级别报相应的文物行政部门批准。</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《文物保护工程管理办法》（文化部令第26号）第十条第二款市县级文物保护单位及未核定为文物保护单位的不可移动文物的保护工程的申报机关、审批机关由省级文物行政部门确定。</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部分情况下开展</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是</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Times New Roman" w:hAnsi="Times New Roman" w:eastAsia="楷体"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行政许可法》第四十二条第一款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13</w:t>
      </w:r>
      <w:r>
        <w:rPr>
          <w:rFonts w:hint="eastAsia" w:ascii="方正仿宋_GBK" w:hAnsi="方正仿宋_GBK" w:eastAsia="方正仿宋_GBK" w:cs="方正仿宋_GBK"/>
          <w:b w:val="0"/>
          <w:bCs w:val="0"/>
          <w:strike w:val="0"/>
          <w:dstrike w:val="0"/>
          <w:color w:val="auto"/>
          <w:sz w:val="32"/>
          <w:szCs w:val="32"/>
          <w:lang w:val="en-US" w:eastAsia="zh-CN"/>
        </w:rPr>
        <w:t>个工作日，依法进行委托评估、专家评审另需时间不计算在该时限。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批复</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当次</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《中华人民共和国文物保护法》第二十一条第二款对文物保护单位进行修缮，应当根据文物保护单位的级别报相应的文物行政部门批准。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《文物保护工程管理办法》（文化部令第26号）第十条第二款市县级文物保护单位及未核定为文物保护单位的不可移动文物的保护工程的申报机关、审批机关由省级文物行政部门确定。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rPr>
        <w:t>《中华人民共和国文物保护法》第二十一条第二款对文物保护单位进行修缮，应当根据文物保护单位的级别报相应的文物行政部门批准</w:t>
      </w:r>
      <w:r>
        <w:rPr>
          <w:rFonts w:hint="default" w:ascii="Times New Roman" w:hAnsi="Times New Roman" w:eastAsia="方正仿宋_GBK"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default" w:ascii="Times New Roman" w:hAnsi="Times New Roman" w:eastAsia="方正仿宋_GBK" w:cs="Times New Roman"/>
          <w:color w:val="000000"/>
          <w:sz w:val="32"/>
          <w:szCs w:val="32"/>
        </w:rPr>
        <w:t>《文物保护工程管理办法》（文化部令第26号）第十条第二款市县级文物保护单位及未核定为文物保护单位的不可移动文物的保护工程的申报机关、审批机关由省级文物行政部门确定。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p>
      <w:pPr>
        <w:rPr>
          <w:rFonts w:hint="eastAsia" w:ascii="方正仿宋_GBK" w:hAnsi="方正仿宋_GBK" w:eastAsia="方正仿宋_GBK" w:cs="方正仿宋_GBK"/>
          <w:sz w:val="32"/>
          <w:szCs w:val="32"/>
          <w:lang w:eastAsia="zh-CN"/>
        </w:rPr>
      </w:pPr>
    </w:p>
    <w:p>
      <w:pPr>
        <w:rPr>
          <w:rFonts w:hint="eastAsia" w:eastAsia="宋体"/>
          <w:lang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方正黑体_GBK">
    <w:panose1 w:val="03000509000000000000"/>
    <w:charset w:val="86"/>
    <w:family w:val="auto"/>
    <w:pitch w:val="default"/>
    <w:sig w:usb0="00000001" w:usb1="080E0000" w:usb2="00000000" w:usb3="00000000" w:csb0="00040000" w:csb1="00000000"/>
  </w:font>
  <w:font w:name="方正琥珀繁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64BF4D16"/>
    <w:rsid w:val="64BF4D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autoRedefine/>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4</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2024-01-17T02:47:00Z</dcterms:created>
  <dc:creator>未定义</dc:creator>
  <cp:lastModifiedBy>未定义</cp:lastModifiedBy>
  <dcterms:modified xsi:type="dcterms:W3CDTF">2024-01-17T03:46:07Z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FA85B36F4EFC4989BF00F67BA95200B9_11</vt:lpwstr>
  </property>
</Properties>
</file>