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14E1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textAlignment w:val="auto"/>
        <w:outlineLvl w:val="1"/>
        <w:rPr>
          <w:rFonts w:hint="default" w:ascii="Times New Roman" w:hAnsi="Times New Roman" w:eastAsia="方正小标宋_GBK" w:cs="Times New Roman"/>
          <w:sz w:val="44"/>
          <w:szCs w:val="44"/>
        </w:rPr>
      </w:pPr>
      <w:bookmarkStart w:id="0" w:name="OLE_LINK1"/>
      <w:r>
        <w:rPr>
          <w:rFonts w:hint="default" w:ascii="Times New Roman" w:hAnsi="Times New Roman" w:eastAsia="方正小标宋_GBK" w:cs="Times New Roman"/>
          <w:sz w:val="44"/>
          <w:szCs w:val="44"/>
        </w:rPr>
        <w:t>关闭、闲置、拆除城市环卫设施许可</w:t>
      </w:r>
    </w:p>
    <w:p w14:paraId="2BB641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textAlignment w:val="auto"/>
        <w:outlineLvl w:val="1"/>
        <w:rPr>
          <w:rFonts w:hint="default" w:ascii="Times New Roman" w:hAnsi="Times New Roman" w:eastAsia="方正小标宋_GBK" w:cs="Times New Roman"/>
          <w:sz w:val="44"/>
          <w:szCs w:val="44"/>
        </w:rPr>
      </w:pPr>
    </w:p>
    <w:p w14:paraId="4F80C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42C505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bookmarkStart w:id="1" w:name="_GoBack"/>
      <w:bookmarkEnd w:id="1"/>
    </w:p>
    <w:p w14:paraId="2B04A7F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关闭、闲置、拆除城市环境卫生设施许可</w:t>
      </w:r>
    </w:p>
    <w:p w14:paraId="2354F07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00011711900Y</w:t>
      </w:r>
      <w:r>
        <w:rPr>
          <w:rFonts w:hint="default" w:ascii="Times New Roman" w:hAnsi="Times New Roman" w:eastAsia="方正小标宋_GBK" w:cs="Times New Roman"/>
          <w:color w:val="000000"/>
          <w:sz w:val="32"/>
          <w:szCs w:val="32"/>
        </w:rPr>
        <w:t>】</w:t>
      </w:r>
    </w:p>
    <w:p w14:paraId="4E2BEC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186B9D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关闭、闲置、拆除城市环境卫生设施许可（县级权限）</w:t>
      </w:r>
    </w:p>
    <w:p w14:paraId="393617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000117119003</w:t>
      </w:r>
      <w:r>
        <w:rPr>
          <w:rFonts w:hint="default" w:ascii="Times New Roman" w:hAnsi="Times New Roman" w:eastAsia="方正小标宋_GBK" w:cs="Times New Roman"/>
          <w:color w:val="000000"/>
          <w:sz w:val="32"/>
          <w:szCs w:val="32"/>
        </w:rPr>
        <w:t>】</w:t>
      </w:r>
    </w:p>
    <w:p w14:paraId="29352B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352EA47E">
      <w:pPr>
        <w:pStyle w:val="2"/>
        <w:ind w:firstLine="640" w:firstLineChars="200"/>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关闭、闲置、拆除城市环境卫生设施许可首次申请</w:t>
      </w:r>
    </w:p>
    <w:p w14:paraId="6BD4CE15">
      <w:pPr>
        <w:pStyle w:val="2"/>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00011711900301</w:t>
      </w:r>
      <w:r>
        <w:rPr>
          <w:rFonts w:hint="default" w:ascii="Times New Roman" w:hAnsi="Times New Roman" w:eastAsia="方正小标宋_GBK" w:cs="Times New Roman"/>
          <w:color w:val="000000"/>
          <w:sz w:val="32"/>
          <w:szCs w:val="32"/>
        </w:rPr>
        <w:t>】</w:t>
      </w:r>
    </w:p>
    <w:p w14:paraId="094A9ED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4321B1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sz w:val="32"/>
          <w:szCs w:val="32"/>
          <w:lang w:val="en-US" w:eastAsia="zh-CN"/>
        </w:rPr>
        <w:t>《中华人民共和国固体废物污染环境防治法》《云南省人民政府关于调整112项涉及州级及以下行政权力事项的决定》（云政发〔2020〕21号）</w:t>
      </w:r>
    </w:p>
    <w:p w14:paraId="339851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37A0101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生活垃圾管理办法》（中华人民共和国建设部令第157号）第八条、第十三条、第十四条、第三十五条；《住房和城乡建设部关于取消部分部门规章和规范性文件设定的证明事项的决定》（建法规〔2019〕6号）《取消部门规章设定的证明事项目录》明确申请人办理关闭、闲置或者拆除城市生活垃圾处置设施、场所的核准时不再需提交权属关系证明材料；《中华人民共和国固体废物污染环境防治法》第五十五条、第一百一十一条。</w:t>
      </w:r>
    </w:p>
    <w:p w14:paraId="598174F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p>
    <w:p w14:paraId="2B911D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p>
    <w:p w14:paraId="610D05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p>
    <w:p w14:paraId="5F7788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p>
    <w:p w14:paraId="302FED0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p>
    <w:p w14:paraId="4CD2E6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5C58F5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《城市生活垃圾管理办法》（中华人民共和国建设部令第157号）第十三条、第四十一条；《中华人民共和国固体废物污染环境防治法》第五十五条、第一百一十一条。</w:t>
      </w:r>
    </w:p>
    <w:p w14:paraId="67FBF3D0">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1EF2D1AA">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439EEBA8">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4953A5A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19466ED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590691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27E77A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5AB59C64">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关闭、闲置、拆除城市环卫设施许可</w:t>
      </w:r>
    </w:p>
    <w:p w14:paraId="7E410AE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08566C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332F8D3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2A07D682">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27FE045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687B7AA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申请人属于设施权属人；设施丧失使用功能或使用功能已被其他设施替代；制定设施后期防止环境污染方案；应该由申请人委托第三方机构出具符合关闭、闲置、拆除城市环境卫生设施条件的认定报告。因实施城市规划需要闲置、关闭或者拆除的，应当取得规划、建设主管部门批准文件。</w:t>
      </w:r>
    </w:p>
    <w:p w14:paraId="6D50320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3D22C27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《城市生活垃圾管理办法》（中华人民共和国建设部令第157号）第十四条</w:t>
      </w:r>
      <w:r>
        <w:rPr>
          <w:rFonts w:hint="default" w:ascii="Times New Roman" w:hAnsi="Times New Roman" w:eastAsia="方正仿宋_GBK" w:cs="Times New Roman"/>
          <w:color w:val="000000"/>
          <w:sz w:val="32"/>
          <w:szCs w:val="32"/>
          <w:lang w:eastAsia="zh-CN"/>
        </w:rPr>
        <w:t>，申请关闭、闲置或者拆除城市生活垃圾处置设施、场所的，应当提交以下材料：</w:t>
      </w:r>
    </w:p>
    <w:p w14:paraId="6B3EBB4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（一）书面申请；</w:t>
      </w:r>
    </w:p>
    <w:p w14:paraId="7CD3D20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（二）权属关系证明材料；</w:t>
      </w:r>
    </w:p>
    <w:p w14:paraId="5C493BD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（三）丧失使用功能或其使用功能被其他设施替代的证明；</w:t>
      </w:r>
    </w:p>
    <w:p w14:paraId="1E1FBC6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（四）防止环境污染的方案；</w:t>
      </w:r>
    </w:p>
    <w:p w14:paraId="3F571777">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（五）拟关闭、闲置或者拆除设施的现状图及拆除方案；</w:t>
      </w:r>
    </w:p>
    <w:p w14:paraId="1BFF43FB">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（六）拟新建设施设计图；</w:t>
      </w:r>
    </w:p>
    <w:p w14:paraId="5BE9940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方正仿宋_GBK" w:cs="Times New Roman"/>
          <w:color w:val="000000"/>
          <w:sz w:val="32"/>
          <w:szCs w:val="32"/>
          <w:lang w:eastAsia="zh-CN"/>
        </w:rPr>
        <w:t>（七）因实施城市规划需要闲置、关闭或者拆除的，还应当提供规划、建设主管部门的批准文件。</w:t>
      </w:r>
    </w:p>
    <w:p w14:paraId="53E4A978">
      <w:pPr>
        <w:keepNext w:val="0"/>
        <w:keepLines w:val="0"/>
        <w:pageBreakBefore w:val="0"/>
        <w:numPr>
          <w:ilvl w:val="0"/>
          <w:numId w:val="2"/>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《住房和城乡建设部关于取消部分部门规章和规范性文件设定的证明事项的决定》（建法规〔2019〕6号）附件</w:t>
      </w:r>
      <w:r>
        <w:rPr>
          <w:rFonts w:hint="default"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《取消部门规章设定的证明事项目录》明确申请人办理关闭、闲置或者拆除城市生活垃圾处置设施、场所的核准时不再需提交权属关系证明材料。</w:t>
      </w:r>
    </w:p>
    <w:p w14:paraId="12094299">
      <w:pPr>
        <w:pStyle w:val="2"/>
        <w:numPr>
          <w:ilvl w:val="0"/>
          <w:numId w:val="0"/>
        </w:numPr>
        <w:ind w:firstLine="640" w:firstLineChars="200"/>
        <w:rPr>
          <w:rFonts w:hint="default" w:ascii="Times New Roman" w:hAnsi="Times New Roman" w:cs="Times New Roman"/>
        </w:rPr>
      </w:pPr>
      <w:r>
        <w:rPr>
          <w:rFonts w:hint="default" w:ascii="Times New Roman" w:hAnsi="Times New Roman" w:cs="Times New Roman"/>
          <w:lang w:val="en-US" w:eastAsia="zh-CN"/>
        </w:rPr>
        <w:t>3.《中华人民共和国固体废物污染环境防治法》第五十五条禁止擅自关闭、闲置或者拆除生活垃圾处理设施、场所；确有必要关闭、闲置或者拆除的，应当经所在地的市、县级人民政府环境卫生主管部门商所在地生态环境主管部门同意后核准，并采取防止污染环境的措施。</w:t>
      </w:r>
    </w:p>
    <w:p w14:paraId="4E5C4A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7068D005">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企业法人</w:t>
      </w:r>
    </w:p>
    <w:p w14:paraId="3D723E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是</w:t>
      </w:r>
    </w:p>
    <w:p w14:paraId="6406E3F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关闭、闲置、拆除城市环境卫生设施许可</w:t>
      </w:r>
    </w:p>
    <w:p w14:paraId="2078FA8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sz w:val="32"/>
          <w:szCs w:val="32"/>
          <w:lang w:val="en-US" w:eastAsia="zh-CN"/>
        </w:rPr>
        <w:t>关闭、闲置、拆除城市环境卫生设施（生活垃圾处理设施场所）批复</w:t>
      </w:r>
    </w:p>
    <w:p w14:paraId="1453B91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18192A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7B8A024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精简许可条件和审批材料，减轻企业办事负担；优化审批流程，压减审批时限，提高审批效率</w:t>
      </w:r>
    </w:p>
    <w:p w14:paraId="2077362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763E31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1.完善常态化监管机制，通过书面检查、实地检查、定期抽验、随机抽查等强化日常监管网、人工智能等手段精准预警风险隐患。</w:t>
      </w:r>
    </w:p>
    <w:p w14:paraId="437AC68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2.运用互联网和大数据技术，依托政务服务网上平台，实时动态监管，实现“制度+技术”的有效监管</w:t>
      </w:r>
    </w:p>
    <w:p w14:paraId="6FE05D3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3.加快推进社会信用体系建设，完善信用信息征集、存储、共享与应用等环节的管理制度，建立健全信用信息档案和交换共享机制</w:t>
      </w:r>
    </w:p>
    <w:p w14:paraId="1E534D7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4.拓宽公众参与社会监督的渠道和方式，建立健全公众举报受理平台，鼓励通过互联网、举报电话、投诉信箱等反映行政相对人在产品和服务质量、违法经营等方面的问题。         </w:t>
      </w:r>
    </w:p>
    <w:p w14:paraId="249398B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五、</w:t>
      </w:r>
      <w:r>
        <w:rPr>
          <w:rFonts w:hint="default" w:ascii="Times New Roman" w:hAnsi="Times New Roman" w:eastAsia="黑体" w:cs="Times New Roman"/>
          <w:b w:val="0"/>
          <w:bCs w:val="0"/>
          <w:strike w:val="0"/>
          <w:dstrike w:val="0"/>
          <w:color w:val="auto"/>
          <w:sz w:val="32"/>
          <w:szCs w:val="32"/>
          <w:lang w:val="en-US" w:eastAsia="zh-CN"/>
        </w:rPr>
        <w:t>申请材料</w:t>
      </w:r>
    </w:p>
    <w:p w14:paraId="6F9AC2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18A8508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1.书面申请原件；</w:t>
      </w:r>
    </w:p>
    <w:p w14:paraId="3F3DF0D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2.权属关系证明材料原件或复印件；</w:t>
      </w:r>
    </w:p>
    <w:p w14:paraId="556C0C3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3.丧失使用功能或其使用功能被其他设施替代的证明原件或复印件；</w:t>
      </w:r>
    </w:p>
    <w:p w14:paraId="030B334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4.防止环境污染的方案原件或复印件；</w:t>
      </w:r>
    </w:p>
    <w:p w14:paraId="76DC1D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5.拟关闭、闲置或者拆除设施的现状图及拆除方案原件或复印件；</w:t>
      </w:r>
    </w:p>
    <w:p w14:paraId="351F0A6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6.拟新建设施设计图原件或复印件；</w:t>
      </w:r>
    </w:p>
    <w:p w14:paraId="33AC47F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7.因实施城市规划需要闲置、关闭或者拆除的，还应当提供规划、建设主管部门的批准文件原件或复印件。</w:t>
      </w:r>
    </w:p>
    <w:p w14:paraId="086ECBF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184873D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0A6A8BC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六、中介服务</w:t>
      </w:r>
    </w:p>
    <w:p w14:paraId="5D324D3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1485525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5EACF8D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39BEFC0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63DEF0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7F619F2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40A4F385">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07BF642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484C3EE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3E2E16C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3A30B55C">
      <w:pPr>
        <w:pStyle w:val="2"/>
        <w:keepNext w:val="0"/>
        <w:keepLines w:val="0"/>
        <w:pageBreakBefore w:val="0"/>
        <w:widowControl w:val="0"/>
        <w:kinsoku/>
        <w:wordWrap/>
        <w:overflowPunct/>
        <w:topLinePunct w:val="0"/>
        <w:autoSpaceDE/>
        <w:autoSpaceDN/>
        <w:bidi w:val="0"/>
        <w:adjustRightInd/>
        <w:snapToGrid/>
        <w:ind w:right="0" w:rightChars="0" w:firstLine="1280" w:firstLineChars="400"/>
        <w:jc w:val="both"/>
        <w:textAlignment w:val="auto"/>
        <w:outlineLvl w:val="9"/>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1F2B363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2CD36F22">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628AD47F">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《中华人民共和国行政许可法》第二十九条、第三十条、第三十一条、第三十二条、第三十三条、第三十四条、第三十五条、第三十六条、第三十七条、第三十八条、第三十九条、第四十条、第四十一条.</w:t>
      </w:r>
    </w:p>
    <w:p w14:paraId="28AD7032">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kern w:val="2"/>
          <w:sz w:val="32"/>
          <w:szCs w:val="32"/>
          <w:lang w:val="en-US" w:eastAsia="zh-CN" w:bidi="ar-SA"/>
        </w:rPr>
        <w:t>是</w:t>
      </w:r>
    </w:p>
    <w:p w14:paraId="66E15B75">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14:paraId="1B25E0E2">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5F0ED87A">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7F2845B0">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639D755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kern w:val="2"/>
          <w:sz w:val="32"/>
          <w:szCs w:val="32"/>
          <w:lang w:val="en-US" w:eastAsia="zh-CN" w:bidi="ar-SA"/>
        </w:rPr>
        <w:t>是</w:t>
      </w:r>
    </w:p>
    <w:p w14:paraId="0F45B289">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01A89946">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否</w:t>
      </w:r>
    </w:p>
    <w:p w14:paraId="1ADDE7C4">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63ADF72B">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62563D5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当场办理</w:t>
      </w:r>
    </w:p>
    <w:p w14:paraId="62E1A3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（二）法定审批时限：45</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5CF46639">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《中华人民共和国行政许可法》依照本法第二十六条的规定，行政许可采取统一办理或者联合办理、集中办理的，办理的时间不得超过四十五日；四十五日内不能办结的，经本级人民政府负责人批准。</w:t>
      </w:r>
      <w:r>
        <w:rPr>
          <w:rFonts w:hint="default" w:ascii="Times New Roman" w:hAnsi="Times New Roman" w:eastAsia="楷体" w:cs="Times New Roman"/>
          <w:b w:val="0"/>
          <w:bCs w:val="0"/>
          <w:strike w:val="0"/>
          <w:dstrike w:val="0"/>
          <w:color w:val="auto"/>
          <w:sz w:val="32"/>
          <w:szCs w:val="32"/>
          <w:lang w:val="en-US" w:eastAsia="zh-CN"/>
        </w:rPr>
        <w:t>（四）承诺审批时限：45</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739CF6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170E802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61A2E3E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59F9332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58D12C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证照、其他</w:t>
      </w:r>
    </w:p>
    <w:p w14:paraId="51E9DF8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关闭、闲置、拆除城市环境卫生设施（生活垃圾处理设施场所）批复</w:t>
      </w:r>
    </w:p>
    <w:p w14:paraId="467285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无限期</w:t>
      </w:r>
    </w:p>
    <w:p w14:paraId="01C15BF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4541DF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《城市市容和环境卫生管理条例》第二十二条一切单位和个人都不得擅自拆除环境卫生设施；因建设需要必须拆除的，建设单位必须事先提出拆迁方案，报城市人民政府市容环境卫生行政主管部门批准。</w:t>
      </w:r>
    </w:p>
    <w:p w14:paraId="247260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0401F91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502155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0F7577F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74AFC88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070F6205">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28BE962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764E82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2DFE4AA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6DEDD5B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7819FF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1AC786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B0F3D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0370535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3B4DA7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3F25934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46AB2F3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27D63A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01CC571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57F2D45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ACD69B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5D360C5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6477B39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1F081D0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0148F9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3C0D649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5E2D74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5DA5BA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住房和城乡建</w:t>
      </w:r>
      <w:r>
        <w:rPr>
          <w:rFonts w:hint="default" w:ascii="Times New Roman" w:hAnsi="Times New Roman" w:eastAsia="方正仿宋_GBK" w:cs="Times New Roman"/>
          <w:b w:val="0"/>
          <w:bCs w:val="0"/>
          <w:strike w:val="0"/>
          <w:dstrike w:val="0"/>
          <w:color w:val="auto"/>
          <w:sz w:val="32"/>
          <w:szCs w:val="32"/>
          <w:lang w:val="en-US" w:eastAsia="zh-CN"/>
        </w:rPr>
        <w:t>设部；直辖市政府环境卫生部门会同生态环境部门。</w:t>
      </w:r>
    </w:p>
    <w:p w14:paraId="1ABF46F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5AD1146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4856EC35">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2CDCADC3">
      <w:pPr>
        <w:rPr>
          <w:rFonts w:hint="default" w:ascii="Times New Roman" w:hAnsi="Times New Roman" w:cs="Times New Roman"/>
        </w:rPr>
      </w:pPr>
    </w:p>
    <w:p w14:paraId="380D3868">
      <w:pPr>
        <w:rPr>
          <w:rFonts w:hint="default" w:ascii="Times New Roman" w:hAnsi="Times New Roman" w:eastAsia="方正仿宋_GBK" w:cs="Times New Roman"/>
          <w:sz w:val="32"/>
          <w:szCs w:val="32"/>
          <w:lang w:eastAsia="zh-CN"/>
        </w:rPr>
      </w:pPr>
    </w:p>
    <w:p w14:paraId="692D2EFE">
      <w:pPr>
        <w:rPr>
          <w:rFonts w:hint="default" w:ascii="Times New Roman" w:hAnsi="Times New Roman" w:eastAsia="宋体" w:cs="Times New Roman"/>
          <w:lang w:eastAsia="zh-CN"/>
        </w:rPr>
      </w:pPr>
    </w:p>
    <w:p w14:paraId="1544A1E5">
      <w:pPr>
        <w:rPr>
          <w:rFonts w:hint="default" w:ascii="Times New Roman" w:hAnsi="Times New Roman" w:cs="Times New Roman"/>
        </w:rPr>
      </w:pPr>
    </w:p>
    <w:p w14:paraId="05899150">
      <w:pPr>
        <w:rPr>
          <w:rFonts w:hint="default" w:ascii="Times New Roman" w:hAnsi="Times New Roman" w:cs="Times New Roman"/>
        </w:rPr>
      </w:pPr>
    </w:p>
    <w:p w14:paraId="6E5152B6">
      <w:pPr>
        <w:rPr>
          <w:rFonts w:hint="default" w:ascii="Times New Roman" w:hAnsi="Times New Roman" w:cs="Times New Roman"/>
        </w:rPr>
      </w:pPr>
    </w:p>
    <w:p w14:paraId="5574FA40">
      <w:pPr>
        <w:rPr>
          <w:rFonts w:hint="default" w:ascii="Times New Roman" w:hAnsi="Times New Roman" w:eastAsia="宋体" w:cs="Times New Roman"/>
          <w:lang w:eastAsia="zh-CN"/>
        </w:rPr>
      </w:pPr>
    </w:p>
    <w:p w14:paraId="3F11408B">
      <w:pPr>
        <w:rPr>
          <w:rFonts w:hint="default" w:ascii="Times New Roman" w:hAnsi="Times New Roman" w:cs="Times New Roman"/>
        </w:rPr>
      </w:pPr>
    </w:p>
    <w:bookmarkEnd w:id="0"/>
    <w:p w14:paraId="2A5A5AA2">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9D2ED"/>
    <w:multiLevelType w:val="singleLevel"/>
    <w:tmpl w:val="67F9D2ED"/>
    <w:lvl w:ilvl="0" w:tentative="0">
      <w:start w:val="2"/>
      <w:numFmt w:val="decimal"/>
      <w:suff w:val="nothing"/>
      <w:lvlText w:val="%1."/>
      <w:lvlJc w:val="left"/>
    </w:lvl>
  </w:abstractNum>
  <w:abstractNum w:abstractNumId="1">
    <w:nsid w:val="6EE0DB29"/>
    <w:multiLevelType w:val="singleLevel"/>
    <w:tmpl w:val="6EE0DB2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24821172"/>
    <w:rsid w:val="26957DBE"/>
    <w:rsid w:val="36125165"/>
    <w:rsid w:val="3A5205D8"/>
    <w:rsid w:val="51C60DB4"/>
    <w:rsid w:val="55076ACD"/>
    <w:rsid w:val="7E274B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9</Pages>
  <Words>3236</Words>
  <Characters>3309</Characters>
  <Lines>0</Lines>
  <Paragraphs>0</Paragraphs>
  <TotalTime>1</TotalTime>
  <ScaleCrop>false</ScaleCrop>
  <LinksUpToDate>false</LinksUpToDate>
  <CharactersWithSpaces>3319</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2025-04-17T07:59:23Z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ies>
</file>