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129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职业培训学校筹设审批</w:t>
      </w:r>
    </w:p>
    <w:p w14:paraId="7BDDB6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bookmarkStart w:id="0" w:name="_GoBack"/>
      <w:bookmarkEnd w:id="0"/>
    </w:p>
    <w:p w14:paraId="7ED86A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27CFAE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02F0E6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outlineLvl w:val="1"/>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职业培训学校筹设审批【</w:t>
      </w:r>
      <w:r>
        <w:rPr>
          <w:rFonts w:hint="eastAsia" w:ascii="Times New Roman" w:hAnsi="Times New Roman" w:eastAsia="宋体" w:cs="Times New Roman"/>
          <w:kern w:val="2"/>
          <w:sz w:val="32"/>
          <w:szCs w:val="32"/>
          <w:lang w:val="en-US" w:eastAsia="zh-CN" w:bidi="ar-SA"/>
        </w:rPr>
        <w:t>00011410300Y</w:t>
      </w:r>
      <w:r>
        <w:rPr>
          <w:rFonts w:ascii="Times New Roman" w:hAnsi="Times New Roman" w:eastAsia="方正小标宋_GBK"/>
          <w:color w:val="000000"/>
          <w:sz w:val="32"/>
          <w:szCs w:val="32"/>
        </w:rPr>
        <w:t>】</w:t>
      </w:r>
    </w:p>
    <w:p w14:paraId="390548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0593F2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职业培训学校筹设审批【</w:t>
      </w:r>
      <w:r>
        <w:rPr>
          <w:rFonts w:hint="default" w:ascii="Times New Roman" w:hAnsi="Times New Roman" w:eastAsia="宋体" w:cs="Times New Roman"/>
          <w:kern w:val="2"/>
          <w:sz w:val="32"/>
          <w:szCs w:val="32"/>
          <w:lang w:val="en-US" w:eastAsia="zh-CN" w:bidi="ar-SA"/>
        </w:rPr>
        <w:t>000114103004</w:t>
      </w:r>
      <w:r>
        <w:rPr>
          <w:rFonts w:ascii="Times New Roman" w:hAnsi="Times New Roman" w:eastAsia="方正小标宋_GBK"/>
          <w:color w:val="000000"/>
          <w:sz w:val="32"/>
          <w:szCs w:val="32"/>
        </w:rPr>
        <w:t>】</w:t>
      </w:r>
    </w:p>
    <w:p w14:paraId="6562AF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17A396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职业培训学校筹设审批【</w:t>
      </w:r>
      <w:r>
        <w:rPr>
          <w:rFonts w:hint="default" w:ascii="Times New Roman" w:hAnsi="Times New Roman" w:eastAsia="宋体" w:cs="Times New Roman"/>
          <w:kern w:val="2"/>
          <w:sz w:val="32"/>
          <w:szCs w:val="32"/>
          <w:lang w:val="en-US" w:eastAsia="zh-CN" w:bidi="ar-SA"/>
        </w:rPr>
        <w:t>00011410300401</w:t>
      </w:r>
      <w:r>
        <w:rPr>
          <w:rFonts w:ascii="Times New Roman" w:hAnsi="Times New Roman" w:eastAsia="方正小标宋_GBK"/>
          <w:color w:val="000000"/>
          <w:sz w:val="32"/>
          <w:szCs w:val="32"/>
        </w:rPr>
        <w:t>】</w:t>
      </w:r>
    </w:p>
    <w:p w14:paraId="6758E9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p>
    <w:p w14:paraId="7EE77D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《中华人民共和国民办教育促进法》</w:t>
      </w:r>
    </w:p>
    <w:p w14:paraId="73D172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3B1184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《中华人民共和国民办教育促进法》</w:t>
      </w:r>
    </w:p>
    <w:p w14:paraId="7C47A8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《中华人民共和国职业教育法》</w:t>
      </w:r>
    </w:p>
    <w:p w14:paraId="382ED8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《中华人民共和国教育法》</w:t>
      </w:r>
    </w:p>
    <w:p w14:paraId="58E6062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（六）监管依据</w:t>
      </w:r>
    </w:p>
    <w:p w14:paraId="3C23EC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《中华人民共和国民办教育促进法》</w:t>
      </w:r>
    </w:p>
    <w:p w14:paraId="7180EB7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《中华人民共和国职业教育法》</w:t>
      </w:r>
    </w:p>
    <w:p w14:paraId="7839EE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《中华人民共和国教育法》</w:t>
      </w:r>
    </w:p>
    <w:p w14:paraId="560E1212">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永德县人力资源和社会保障局</w:t>
      </w:r>
    </w:p>
    <w:p w14:paraId="1379A8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21863E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156693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65444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6A8ACE6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14:paraId="7C88CC2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F11F69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民办职业培训学校筹设审批</w:t>
      </w:r>
    </w:p>
    <w:p w14:paraId="41712D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480B46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499664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登记型</w:t>
      </w:r>
    </w:p>
    <w:p w14:paraId="04FE820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三、行政许可条件</w:t>
      </w:r>
    </w:p>
    <w:p w14:paraId="08BDF9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4535D7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1.有组织机构和章程；</w:t>
      </w:r>
    </w:p>
    <w:p w14:paraId="6CF2BA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2.有合格的教师和管理人员；</w:t>
      </w:r>
    </w:p>
    <w:p w14:paraId="41EB02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3.有与所实施职业教育相适应、符合规定标准和安全要求的教学及实习实训场所、设施、设备以及课程体系、教育教学资源等；</w:t>
      </w:r>
    </w:p>
    <w:p w14:paraId="63D46D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4.有必备的办学资金和与办学规模相适应的稳定经费来源。</w:t>
      </w:r>
    </w:p>
    <w:p w14:paraId="74CCBA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120A10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《中华人民共和国职业教育法》</w:t>
      </w:r>
    </w:p>
    <w:p w14:paraId="338A37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trike w:val="0"/>
          <w:dstrike w:val="0"/>
          <w:color w:val="auto"/>
          <w:kern w:val="2"/>
          <w:sz w:val="32"/>
          <w:szCs w:val="32"/>
          <w:lang w:val="en-US" w:eastAsia="zh-CN" w:bidi="ar-SA"/>
        </w:rPr>
        <w:t>《中华人民共和国教育法》</w:t>
      </w:r>
    </w:p>
    <w:p w14:paraId="34A89E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079C3526">
      <w:pPr>
        <w:keepNext w:val="0"/>
        <w:keepLines w:val="0"/>
        <w:pageBreakBefore w:val="0"/>
        <w:widowControl w:val="0"/>
        <w:kinsoku/>
        <w:wordWrap/>
        <w:overflowPunct/>
        <w:topLinePunct w:val="0"/>
        <w:autoSpaceDE/>
        <w:autoSpaceDN/>
        <w:bidi w:val="0"/>
        <w:adjustRightInd/>
        <w:snapToGrid/>
        <w:spacing w:line="480" w:lineRule="exact"/>
        <w:ind w:firstLine="562"/>
        <w:textAlignment w:val="auto"/>
        <w:rPr>
          <w:rFonts w:hint="eastAsia"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Times New Roman" w:hAnsi="Times New Roman" w:eastAsia="方正仿宋_GBK" w:cs="Times New Roman"/>
          <w:sz w:val="32"/>
          <w:szCs w:val="32"/>
          <w:lang w:val="en-US" w:eastAsia="zh-CN"/>
        </w:rPr>
        <w:t>自然人、企业法人、事业单位法人、社会组织法人</w:t>
      </w:r>
    </w:p>
    <w:p w14:paraId="65B1B4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是</w:t>
      </w:r>
    </w:p>
    <w:p w14:paraId="000AE5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Times New Roman" w:hAnsi="Times New Roman" w:eastAsia="方正仿宋_GBK" w:cs="Times New Roman"/>
          <w:color w:val="000000"/>
          <w:sz w:val="32"/>
          <w:szCs w:val="32"/>
          <w:lang w:val="en-US" w:eastAsia="zh-CN"/>
        </w:rPr>
        <w:t>民办职业培训学校设立、分立、合并、变更及终止审批</w:t>
      </w:r>
    </w:p>
    <w:p w14:paraId="6DE8939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Times New Roman" w:hAnsi="Times New Roman" w:eastAsia="方正仿宋_GBK" w:cs="Times New Roman"/>
          <w:color w:val="000000"/>
          <w:sz w:val="32"/>
          <w:szCs w:val="32"/>
          <w:lang w:val="en-US" w:eastAsia="zh-CN"/>
        </w:rPr>
        <w:t>筹设批准书</w:t>
      </w:r>
    </w:p>
    <w:p w14:paraId="05AA97C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eastAsia" w:ascii="方正仿宋_GBK" w:hAnsi="方正仿宋_GBK" w:eastAsia="方正仿宋_GBK" w:cs="方正仿宋_GBK"/>
          <w:b w:val="0"/>
          <w:bCs w:val="0"/>
          <w:strike w:val="0"/>
          <w:dstrike w:val="0"/>
          <w:color w:val="auto"/>
          <w:sz w:val="32"/>
          <w:szCs w:val="32"/>
          <w:lang w:val="en-US" w:eastAsia="zh-CN"/>
        </w:rPr>
        <w:t>实行告知承诺</w:t>
      </w:r>
    </w:p>
    <w:p w14:paraId="3A3911F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622230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制订并公布告知承诺书格式文本，一次性告知申请人许可条件和所需材料。对申请人自愿承诺符合许可条件并按要求提交材料的，当场作出许可决定。</w:t>
      </w:r>
    </w:p>
    <w:p w14:paraId="3FBC14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14:paraId="51FC535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1.信息公开。要及时公开民办学校举办者情况、办学条件等审批信息；应当制定实施学前教育、学历教育民办学校的信息公示清单，监督民办学校定期向社会公开办学条件、教育质量等有关信息。</w:t>
      </w:r>
    </w:p>
    <w:p w14:paraId="2DDD71B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加强监督。县级以上地方相关部门应当建立民办学校年度检查和年度报告制度，健全日常监管机制；应当建立民办学校信用档案和举办者、校长执业信用制度，对民办学校进行执法监督的情况和处罚、处理结果应当予以记录，由执法、监督人员签字后归档，并依法依规公开执法监督结果。</w:t>
      </w:r>
    </w:p>
    <w:p w14:paraId="58ECE14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3.定期评估。依据职责分工，定期组织或者委托第三方机构对民办学校的办学水平和教育质量进行评估，评估结果应当向社会公开。</w:t>
      </w:r>
    </w:p>
    <w:p w14:paraId="65A9C5E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严格执法。要加大对民办学校办学工作的执法力度，对违法办学、擅自办学的行为依法予以处罚。教育教学质量低下或者管理混乱，造成严重后果的，责令暂停招生、限期整顿；逾期不整顿或者经整顿仍达不到要求的，吊销办学许可证或者责令停止办学。</w:t>
      </w:r>
    </w:p>
    <w:p w14:paraId="3AD887C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7022D30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779CAE3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申办报告，内容应当主要包括：举办者、培养目标、办学规模、办学层次、办学形式、办学条件、内部管理体制、经费筹措与管理使用等；2.举办者的姓名、住址或者名称、地址；3.资产来源、资金数额及有效证明文件，并载明产权；4.属捐赠性质的校产须提交捐赠协议，载明捐赠人的姓名、所捐资产的数额、用途和管理方法及相关有效证明文件。</w:t>
      </w:r>
    </w:p>
    <w:p w14:paraId="282BC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strike w:val="0"/>
          <w:dstrike w:val="0"/>
          <w:color w:val="auto"/>
          <w:kern w:val="2"/>
          <w:sz w:val="32"/>
          <w:szCs w:val="32"/>
          <w:lang w:val="en-US" w:eastAsia="zh-CN" w:bidi="ar-SA"/>
        </w:rPr>
        <w:t>无</w:t>
      </w:r>
    </w:p>
    <w:p w14:paraId="520CA28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004545D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5FD77F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399E44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3F3075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26A430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8B4643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34AB0274">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5FC600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受理、审查、现场勘察、专家评审、公示、作出许可决定、颁发许可证件。</w:t>
      </w:r>
    </w:p>
    <w:p w14:paraId="1F189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p>
    <w:p w14:paraId="5E920583">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《人力资源和社会保障部办公厅关于做好进一步加强民办职业培训学校管理工作的通知》（人社厅发〔2008〕89号）</w:t>
      </w:r>
    </w:p>
    <w:p w14:paraId="106C72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14:paraId="111616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B0B3208">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AF5A59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F6F9912">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6E239F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：是</w:t>
      </w:r>
    </w:p>
    <w:p w14:paraId="1ECE6ECC">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：是</w:t>
      </w:r>
    </w:p>
    <w:p w14:paraId="6376BB22">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：是</w:t>
      </w:r>
    </w:p>
    <w:p w14:paraId="1661C0E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11D1B02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007E0D9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（一）承诺受理时限：</w:t>
      </w:r>
      <w:r>
        <w:rPr>
          <w:rFonts w:hint="eastAsia" w:ascii="Times New Roman" w:hAnsi="Times New Roman" w:eastAsia="方正仿宋_GBK" w:cs="Times New Roman"/>
          <w:strike w:val="0"/>
          <w:dstrike w:val="0"/>
          <w:color w:val="auto"/>
          <w:kern w:val="2"/>
          <w:sz w:val="32"/>
          <w:szCs w:val="32"/>
          <w:lang w:val="en-US" w:eastAsia="zh-CN" w:bidi="ar-SA"/>
        </w:rPr>
        <w:t>当场办理</w:t>
      </w:r>
    </w:p>
    <w:p w14:paraId="4C894A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Times New Roman" w:hAnsi="Times New Roman" w:eastAsia="方正仿宋_GBK" w:cs="Times New Roman"/>
          <w:strike w:val="0"/>
          <w:dstrike w:val="0"/>
          <w:color w:val="auto"/>
          <w:kern w:val="2"/>
          <w:sz w:val="32"/>
          <w:szCs w:val="32"/>
          <w:lang w:val="en-US" w:eastAsia="zh-CN" w:bidi="ar-SA"/>
        </w:rPr>
        <w:t>30个工作日</w:t>
      </w:r>
    </w:p>
    <w:p w14:paraId="20367E86">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2"/>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（三）规定法定审批时限依据：</w:t>
      </w:r>
      <w:r>
        <w:rPr>
          <w:rFonts w:hint="eastAsia" w:ascii="Times New Roman" w:hAnsi="Times New Roman" w:eastAsia="方正仿宋_GBK" w:cs="Times New Roman"/>
          <w:strike w:val="0"/>
          <w:dstrike w:val="0"/>
          <w:color w:val="auto"/>
          <w:kern w:val="2"/>
          <w:sz w:val="32"/>
          <w:szCs w:val="32"/>
          <w:lang w:val="en-US" w:eastAsia="zh-CN" w:bidi="ar-SA"/>
        </w:rPr>
        <w:t>《中华人民共和国民办教育促进法》</w:t>
      </w:r>
      <w:r>
        <w:rPr>
          <w:rFonts w:hint="eastAsia" w:ascii="Times New Roman" w:hAnsi="Times New Roman" w:eastAsia="方正仿宋_GBK" w:cs="Times New Roman"/>
          <w:b w:val="0"/>
          <w:bCs w:val="0"/>
          <w:strike w:val="0"/>
          <w:dstrike w:val="0"/>
          <w:color w:val="auto"/>
          <w:sz w:val="32"/>
          <w:szCs w:val="32"/>
          <w:lang w:val="en-US" w:eastAsia="zh-CN"/>
        </w:rPr>
        <w:t>。</w:t>
      </w:r>
    </w:p>
    <w:p w14:paraId="3FC47D3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Times New Roman" w:hAnsi="Times New Roman" w:eastAsia="方正仿宋_GBK" w:cs="Times New Roman"/>
          <w:b w:val="0"/>
          <w:bCs w:val="0"/>
          <w:strike w:val="0"/>
          <w:dstrike w:val="0"/>
          <w:color w:val="auto"/>
          <w:sz w:val="32"/>
          <w:szCs w:val="32"/>
          <w:lang w:val="en-US" w:eastAsia="zh-CN"/>
        </w:rPr>
        <w:t>当场。</w:t>
      </w:r>
    </w:p>
    <w:p w14:paraId="36821D0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0D323BE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021EB57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526D5C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463E232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eastAsia" w:ascii="方正仿宋_GBK" w:hAnsi="方正仿宋_GBK" w:eastAsia="方正仿宋_GBK" w:cs="方正仿宋_GBK"/>
          <w:color w:val="auto"/>
          <w:sz w:val="32"/>
          <w:szCs w:val="32"/>
          <w:lang w:val="en-US" w:eastAsia="zh-CN"/>
        </w:rPr>
        <w:t>批文</w:t>
      </w:r>
    </w:p>
    <w:p w14:paraId="39748EE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color w:val="auto"/>
          <w:sz w:val="32"/>
          <w:szCs w:val="32"/>
          <w:lang w:val="en-US" w:eastAsia="zh-CN"/>
        </w:rPr>
        <w:t>筹设批准书</w:t>
      </w:r>
    </w:p>
    <w:p w14:paraId="2E83BC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color w:val="auto"/>
          <w:sz w:val="32"/>
          <w:szCs w:val="32"/>
          <w:lang w:val="en-US" w:eastAsia="zh-CN"/>
        </w:rPr>
        <w:t>3年</w:t>
      </w:r>
    </w:p>
    <w:p w14:paraId="1DE19F7D">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《中华人民共和国民办教育促进法》</w:t>
      </w:r>
    </w:p>
    <w:p w14:paraId="313E1E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1FCB67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C6F030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412D25D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70D0846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14:paraId="0EACBC8A">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《中华人民共和国民办教育促进法》</w:t>
      </w:r>
    </w:p>
    <w:p w14:paraId="66216FA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36BA892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04B54F8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D8E79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41A6E0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E16B13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11E6D6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468D98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否</w:t>
      </w:r>
    </w:p>
    <w:p w14:paraId="409758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6B1D6A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0383AB4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7BFEEAE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25D2CB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4C8B229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3B513F0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28721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86C19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4F490F3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29457F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AC6D8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389DAF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043AF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县级人力资源和社会保障行政部门</w:t>
      </w:r>
    </w:p>
    <w:p w14:paraId="3F7C3F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678E3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C17050A">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lang w:val="en-US" w:eastAsia="zh-CN"/>
        </w:rPr>
      </w:pPr>
    </w:p>
    <w:p w14:paraId="43E3F661">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3A5205D8"/>
    <w:rsid w:val="06A072D4"/>
    <w:rsid w:val="0BF05825"/>
    <w:rsid w:val="0C7E2EEF"/>
    <w:rsid w:val="0D676AC1"/>
    <w:rsid w:val="1C1809AE"/>
    <w:rsid w:val="239E0EFF"/>
    <w:rsid w:val="24821172"/>
    <w:rsid w:val="2A3F0751"/>
    <w:rsid w:val="2D622504"/>
    <w:rsid w:val="38180E94"/>
    <w:rsid w:val="38AB450C"/>
    <w:rsid w:val="3A5205D8"/>
    <w:rsid w:val="5A355114"/>
    <w:rsid w:val="5A9710BD"/>
    <w:rsid w:val="5B797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6</Pages>
  <Words>2355</Words>
  <Characters>2407</Characters>
  <Lines>0</Lines>
  <Paragraphs>0</Paragraphs>
  <TotalTime>13</TotalTime>
  <ScaleCrop>false</ScaleCrop>
  <LinksUpToDate>false</LinksUpToDate>
  <CharactersWithSpaces>2407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2024-01-17T07:40:00Z</dcterms:created>
  <dc:creator>未定义</dc:creator>
  <cp:lastModifiedBy>贾云峰</cp:lastModifiedBy>
  <dcterms:modified xsi:type="dcterms:W3CDTF">2025-04-14T02:00:59Z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CB4C3B32F88D4BCC8E0E97CE6B7EB8B5_13</vt:lpwstr>
  </property>
</Properties>
</file>