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9AB26">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14:paraId="68D97094">
      <w:pPr>
        <w:snapToGrid w:val="0"/>
        <w:spacing w:line="317" w:lineRule="auto"/>
        <w:jc w:val="center"/>
        <w:rPr>
          <w:rFonts w:hint="eastAsia"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eastAsia="zh-CN"/>
        </w:rPr>
        <w:t>永德</w:t>
      </w:r>
      <w:r>
        <w:rPr>
          <w:rFonts w:hint="eastAsia" w:ascii="方正小标宋简体" w:eastAsia="方正小标宋简体"/>
          <w:sz w:val="44"/>
          <w:szCs w:val="44"/>
        </w:rPr>
        <w:t>县烟草制品零售点排队</w:t>
      </w:r>
    </w:p>
    <w:p w14:paraId="35B22F1B">
      <w:pPr>
        <w:snapToGrid w:val="0"/>
        <w:spacing w:line="317" w:lineRule="auto"/>
        <w:jc w:val="center"/>
        <w:rPr>
          <w:rFonts w:ascii="仿宋_GB2312" w:hAnsi="仿宋_GB2312" w:eastAsia="仿宋_GB2312" w:cs="仿宋_GB2312"/>
          <w:sz w:val="32"/>
          <w:szCs w:val="32"/>
        </w:rPr>
      </w:pPr>
      <w:r>
        <w:rPr>
          <w:rFonts w:hint="eastAsia" w:ascii="方正小标宋简体" w:eastAsia="方正小标宋简体"/>
          <w:sz w:val="44"/>
          <w:szCs w:val="44"/>
        </w:rPr>
        <w:t>轮候制度</w:t>
      </w:r>
    </w:p>
    <w:p w14:paraId="77F3D8C1">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县实际，制定本制度。</w:t>
      </w:r>
    </w:p>
    <w:p w14:paraId="0B91FC97">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县行政辖区烟草制品零售点新办申请排队轮候管理。</w:t>
      </w:r>
    </w:p>
    <w:p w14:paraId="6F5045C1">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14:paraId="23D2F954">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w:t>
      </w:r>
      <w:bookmarkStart w:id="0" w:name="_GoBack"/>
      <w:bookmarkEnd w:id="0"/>
      <w:r>
        <w:rPr>
          <w:rFonts w:hint="eastAsia" w:ascii="仿宋_GB2312" w:hAnsi="仿宋_GB2312" w:eastAsia="仿宋_GB2312" w:cs="仿宋_GB2312"/>
          <w:kern w:val="28"/>
          <w:sz w:val="32"/>
          <w:szCs w:val="32"/>
        </w:rPr>
        <w:t>单元网格的合理容量公示情况，对符合排队轮候情形的最小单元网格，发证机关采取集中抽签方式确定该最小单元网格首次排队轮候顺序。</w:t>
      </w:r>
    </w:p>
    <w:p w14:paraId="2A3805B5">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14:paraId="401FC130">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抽签按照“提前申请—集中公证抽签—公示抽签结果”的程序进行。自本制度实施之日起五个工作日内，对外发布参与集中抽签的报名地点、时间和方式；自本制度实施之日起十个工作日内，对外发布集中公证抽签的地点、时间和方案；自本制度实施之日起十五个工作日内，完成集中公证抽签。</w:t>
      </w:r>
    </w:p>
    <w:p w14:paraId="4E63CD2C">
      <w:p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kern w:val="28"/>
          <w:sz w:val="32"/>
          <w:szCs w:val="32"/>
        </w:rPr>
        <w:t>集中公证抽签现场按照对外发布方案确定最小单元网格首次排队轮候顺序，并在完成集中公证抽签后二个工作日内公示。</w:t>
      </w:r>
    </w:p>
    <w:p w14:paraId="68A8DDF3">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零售点排队轮候采取最小单元网格管理。自愿加入排队轮候的申请人，应线上填写并提交《云南省</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县烟草制品零售点排队轮候申请表》（详见附表）。申请人在填报信息时应准确、真实。</w:t>
      </w:r>
    </w:p>
    <w:p w14:paraId="3C85FFDB">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发证机关应公开排队轮候情况，并接受公众监督。申请人可通过线上、线下等方式查询排队轮候情况。</w:t>
      </w:r>
    </w:p>
    <w:p w14:paraId="1AA41B49">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14:paraId="18F5620B">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14:paraId="263FB2A8">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县烟草专卖局每年年底向上一级烟草专卖局报告本年度烟草制品零售点排队轮候管理工作情况。</w:t>
      </w:r>
    </w:p>
    <w:p w14:paraId="543F7784">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14:paraId="2A7D6CBF">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5475C2B1">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县烟草专卖局负责解释。</w:t>
      </w:r>
    </w:p>
    <w:p w14:paraId="5691DAC2">
      <w:pPr>
        <w:numPr>
          <w:ilvl w:val="2"/>
          <w:numId w:val="1"/>
        </w:numPr>
        <w:adjustRightInd w:val="0"/>
        <w:snapToGrid w:val="0"/>
        <w:spacing w:line="336"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县烟草制品零售点合理布局规划》实施之日起同时施行。</w:t>
      </w:r>
    </w:p>
    <w:p w14:paraId="222EA763">
      <w:pPr>
        <w:adjustRightInd w:val="0"/>
        <w:snapToGrid w:val="0"/>
        <w:spacing w:line="336" w:lineRule="auto"/>
        <w:ind w:left="402" w:firstLine="640" w:firstLineChars="200"/>
        <w:rPr>
          <w:rFonts w:ascii="仿宋_GB2312" w:hAnsi="仿宋_GB2312" w:eastAsia="仿宋_GB2312" w:cs="仿宋_GB2312"/>
          <w:sz w:val="32"/>
          <w:szCs w:val="32"/>
        </w:rPr>
      </w:pPr>
    </w:p>
    <w:p w14:paraId="05C2E977">
      <w:pPr>
        <w:adjustRightInd w:val="0"/>
        <w:snapToGrid w:val="0"/>
        <w:spacing w:line="336"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eastAsia="zh-CN"/>
        </w:rPr>
        <w:t>永德</w:t>
      </w:r>
      <w:r>
        <w:rPr>
          <w:rFonts w:hint="eastAsia" w:ascii="仿宋_GB2312" w:hAnsi="仿宋_GB2312" w:eastAsia="仿宋_GB2312" w:cs="仿宋_GB2312"/>
          <w:sz w:val="32"/>
          <w:szCs w:val="32"/>
        </w:rPr>
        <w:t>县烟草制品零售点排队轮候申请表</w:t>
      </w:r>
    </w:p>
    <w:p w14:paraId="64C168DA">
      <w:pPr>
        <w:widowControl/>
        <w:jc w:val="left"/>
        <w:rPr>
          <w:rFonts w:hint="eastAsia" w:ascii="黑体" w:hAnsi="黑体" w:eastAsia="黑体" w:cs="黑体"/>
          <w:sz w:val="32"/>
          <w:szCs w:val="32"/>
        </w:rPr>
      </w:pPr>
    </w:p>
    <w:p w14:paraId="7D2079A8">
      <w:pPr>
        <w:widowControl/>
        <w:jc w:val="left"/>
        <w:rPr>
          <w:rFonts w:hint="eastAsia" w:ascii="黑体" w:hAnsi="黑体" w:eastAsia="黑体" w:cs="黑体"/>
          <w:sz w:val="32"/>
          <w:szCs w:val="32"/>
        </w:rPr>
      </w:pPr>
    </w:p>
    <w:p w14:paraId="1A4BA048">
      <w:pPr>
        <w:widowControl/>
        <w:jc w:val="left"/>
        <w:rPr>
          <w:rFonts w:hint="eastAsia" w:ascii="黑体" w:hAnsi="黑体" w:eastAsia="黑体" w:cs="黑体"/>
          <w:sz w:val="32"/>
          <w:szCs w:val="32"/>
        </w:rPr>
      </w:pPr>
    </w:p>
    <w:p w14:paraId="5A6D954D">
      <w:pPr>
        <w:widowControl/>
        <w:jc w:val="left"/>
        <w:rPr>
          <w:rFonts w:hint="eastAsia" w:ascii="黑体" w:hAnsi="黑体" w:eastAsia="黑体" w:cs="黑体"/>
          <w:sz w:val="32"/>
          <w:szCs w:val="32"/>
        </w:rPr>
      </w:pPr>
    </w:p>
    <w:p w14:paraId="53004F8E">
      <w:pPr>
        <w:widowControl/>
        <w:jc w:val="left"/>
        <w:rPr>
          <w:rFonts w:hint="eastAsia" w:ascii="黑体" w:hAnsi="黑体" w:eastAsia="黑体" w:cs="黑体"/>
          <w:sz w:val="32"/>
          <w:szCs w:val="32"/>
        </w:rPr>
      </w:pPr>
    </w:p>
    <w:p w14:paraId="3901A42D">
      <w:pPr>
        <w:widowControl/>
        <w:jc w:val="left"/>
        <w:rPr>
          <w:rFonts w:hint="eastAsia" w:ascii="黑体" w:hAnsi="黑体" w:eastAsia="黑体" w:cs="黑体"/>
          <w:sz w:val="32"/>
          <w:szCs w:val="32"/>
        </w:rPr>
      </w:pPr>
    </w:p>
    <w:p w14:paraId="2B12F067">
      <w:pPr>
        <w:widowControl/>
        <w:jc w:val="left"/>
        <w:rPr>
          <w:rFonts w:hint="eastAsia" w:ascii="黑体" w:hAnsi="黑体" w:eastAsia="黑体" w:cs="黑体"/>
          <w:sz w:val="32"/>
          <w:szCs w:val="32"/>
        </w:rPr>
      </w:pPr>
    </w:p>
    <w:p w14:paraId="188CAFA3">
      <w:pPr>
        <w:widowControl/>
        <w:jc w:val="left"/>
        <w:rPr>
          <w:rFonts w:hint="eastAsia" w:ascii="黑体" w:hAnsi="黑体" w:eastAsia="黑体" w:cs="黑体"/>
          <w:sz w:val="32"/>
          <w:szCs w:val="32"/>
        </w:rPr>
      </w:pPr>
    </w:p>
    <w:p w14:paraId="34D7BC60">
      <w:pPr>
        <w:widowControl/>
        <w:jc w:val="left"/>
        <w:rPr>
          <w:rFonts w:hint="eastAsia" w:ascii="黑体" w:hAnsi="黑体" w:eastAsia="黑体" w:cs="黑体"/>
          <w:sz w:val="32"/>
          <w:szCs w:val="32"/>
        </w:rPr>
      </w:pPr>
    </w:p>
    <w:p w14:paraId="0EE172B6">
      <w:pPr>
        <w:widowControl/>
        <w:jc w:val="left"/>
        <w:rPr>
          <w:rFonts w:hint="eastAsia" w:ascii="黑体" w:hAnsi="黑体" w:eastAsia="黑体" w:cs="黑体"/>
          <w:sz w:val="32"/>
          <w:szCs w:val="32"/>
        </w:rPr>
      </w:pPr>
    </w:p>
    <w:p w14:paraId="4AACB4E8">
      <w:pPr>
        <w:widowControl/>
        <w:jc w:val="left"/>
        <w:rPr>
          <w:rFonts w:hint="eastAsia" w:ascii="黑体" w:hAnsi="黑体" w:eastAsia="黑体" w:cs="黑体"/>
          <w:sz w:val="32"/>
          <w:szCs w:val="32"/>
        </w:rPr>
      </w:pPr>
    </w:p>
    <w:p w14:paraId="29DCE077">
      <w:pPr>
        <w:widowControl/>
        <w:jc w:val="left"/>
        <w:rPr>
          <w:rFonts w:hint="eastAsia" w:ascii="黑体" w:hAnsi="黑体" w:eastAsia="黑体" w:cs="黑体"/>
          <w:sz w:val="32"/>
          <w:szCs w:val="32"/>
        </w:rPr>
      </w:pPr>
    </w:p>
    <w:p w14:paraId="6F5E490A">
      <w:pPr>
        <w:widowControl/>
        <w:jc w:val="left"/>
        <w:rPr>
          <w:rFonts w:ascii="黑体" w:hAnsi="黑体" w:eastAsia="黑体" w:cs="黑体"/>
          <w:sz w:val="44"/>
          <w:szCs w:val="44"/>
        </w:rPr>
      </w:pPr>
      <w:r>
        <w:rPr>
          <w:rFonts w:hint="eastAsia" w:ascii="黑体" w:hAnsi="黑体" w:eastAsia="黑体" w:cs="黑体"/>
          <w:sz w:val="32"/>
          <w:szCs w:val="32"/>
        </w:rPr>
        <w:t>附表</w:t>
      </w:r>
    </w:p>
    <w:p w14:paraId="25852179">
      <w:pPr>
        <w:spacing w:line="360" w:lineRule="auto"/>
        <w:ind w:left="40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eastAsia="zh-CN"/>
        </w:rPr>
        <w:t>永德</w:t>
      </w:r>
      <w:r>
        <w:rPr>
          <w:rFonts w:hint="eastAsia" w:ascii="方正小标宋简体" w:hAnsi="方正小标宋简体" w:eastAsia="方正小标宋简体" w:cs="方正小标宋简体"/>
          <w:sz w:val="44"/>
          <w:szCs w:val="44"/>
        </w:rPr>
        <w:t>县烟草制品零售点排队轮候申请表</w:t>
      </w:r>
    </w:p>
    <w:tbl>
      <w:tblPr>
        <w:tblStyle w:val="4"/>
        <w:tblW w:w="0" w:type="auto"/>
        <w:tblInd w:w="96" w:type="dxa"/>
        <w:tblLayout w:type="fixed"/>
        <w:tblCellMar>
          <w:top w:w="0" w:type="dxa"/>
          <w:left w:w="108" w:type="dxa"/>
          <w:bottom w:w="0" w:type="dxa"/>
          <w:right w:w="108" w:type="dxa"/>
        </w:tblCellMar>
      </w:tblPr>
      <w:tblGrid>
        <w:gridCol w:w="2422"/>
        <w:gridCol w:w="2283"/>
        <w:gridCol w:w="1543"/>
        <w:gridCol w:w="2178"/>
      </w:tblGrid>
      <w:tr w14:paraId="5E4CA4CF">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0123B">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14:paraId="4271A179">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5918C">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0066B">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0E307">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A43CC">
            <w:pPr>
              <w:jc w:val="center"/>
              <w:rPr>
                <w:rFonts w:ascii="宋体" w:hAnsi="宋体" w:cs="宋体"/>
                <w:sz w:val="24"/>
              </w:rPr>
            </w:pPr>
          </w:p>
        </w:tc>
      </w:tr>
      <w:tr w14:paraId="562C3AE3">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739D8">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2FACD">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F75EE">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BB905">
            <w:pPr>
              <w:jc w:val="center"/>
              <w:rPr>
                <w:rFonts w:ascii="宋体" w:hAnsi="宋体" w:cs="宋体"/>
                <w:sz w:val="24"/>
              </w:rPr>
            </w:pPr>
          </w:p>
        </w:tc>
      </w:tr>
      <w:tr w14:paraId="63E20A49">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0AEDC">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F82A3">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45DB8">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86D22">
            <w:pPr>
              <w:jc w:val="center"/>
              <w:rPr>
                <w:rFonts w:ascii="宋体" w:hAnsi="宋体" w:cs="宋体"/>
                <w:sz w:val="24"/>
              </w:rPr>
            </w:pPr>
          </w:p>
        </w:tc>
      </w:tr>
      <w:tr w14:paraId="3F5C777B">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2E1C9">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7A8B7">
            <w:pPr>
              <w:jc w:val="center"/>
              <w:rPr>
                <w:rFonts w:ascii="宋体" w:hAnsi="宋体" w:cs="宋体"/>
                <w:sz w:val="24"/>
              </w:rPr>
            </w:pPr>
          </w:p>
        </w:tc>
      </w:tr>
      <w:tr w14:paraId="0EB7E00F">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5978C">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14:paraId="52CCD9BC">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86DC8">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77A51">
            <w:pPr>
              <w:jc w:val="center"/>
              <w:rPr>
                <w:rFonts w:ascii="宋体" w:hAnsi="宋体" w:cs="宋体"/>
                <w:sz w:val="24"/>
              </w:rPr>
            </w:pPr>
          </w:p>
        </w:tc>
      </w:tr>
      <w:tr w14:paraId="7717F994">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ADBD4">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8007A">
            <w:pPr>
              <w:jc w:val="center"/>
              <w:rPr>
                <w:rFonts w:ascii="宋体" w:hAnsi="宋体" w:cs="宋体"/>
                <w:sz w:val="24"/>
              </w:rPr>
            </w:pPr>
          </w:p>
        </w:tc>
      </w:tr>
      <w:tr w14:paraId="5995947C">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950DA">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8CED6">
            <w:pPr>
              <w:jc w:val="center"/>
              <w:rPr>
                <w:rFonts w:ascii="宋体" w:hAnsi="宋体" w:cs="宋体"/>
                <w:sz w:val="24"/>
              </w:rPr>
            </w:pPr>
          </w:p>
        </w:tc>
      </w:tr>
      <w:tr w14:paraId="50439560">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AF354">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F0E0C">
            <w:pPr>
              <w:jc w:val="center"/>
              <w:rPr>
                <w:rFonts w:ascii="宋体" w:hAnsi="宋体" w:cs="宋体"/>
                <w:sz w:val="24"/>
              </w:rPr>
            </w:pPr>
          </w:p>
        </w:tc>
      </w:tr>
      <w:tr w14:paraId="7A11E4D7">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8D507">
            <w:pPr>
              <w:widowControl/>
              <w:jc w:val="left"/>
              <w:textAlignment w:val="center"/>
              <w:rPr>
                <w:rStyle w:val="6"/>
                <w:rFonts w:hint="default"/>
                <w:color w:val="auto"/>
                <w:lang w:bidi="ar"/>
              </w:rPr>
            </w:pPr>
            <w:r>
              <w:rPr>
                <w:rStyle w:val="6"/>
                <w:rFonts w:hint="default"/>
                <w:color w:val="auto"/>
                <w:lang w:bidi="ar"/>
              </w:rPr>
              <w:t>申请人承诺：</w:t>
            </w:r>
          </w:p>
          <w:p w14:paraId="7260F3B9">
            <w:pPr>
              <w:widowControl/>
              <w:ind w:firstLine="480" w:firstLineChars="200"/>
              <w:jc w:val="left"/>
              <w:textAlignment w:val="center"/>
              <w:rPr>
                <w:rStyle w:val="6"/>
                <w:rFonts w:hint="default"/>
                <w:b w:val="0"/>
                <w:bCs w:val="0"/>
                <w:color w:val="auto"/>
                <w:lang w:bidi="ar"/>
              </w:rPr>
            </w:pPr>
            <w:r>
              <w:rPr>
                <w:rStyle w:val="6"/>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4043C8F3">
            <w:pPr>
              <w:widowControl/>
              <w:ind w:firstLine="480" w:firstLineChars="200"/>
              <w:jc w:val="left"/>
              <w:textAlignment w:val="center"/>
              <w:rPr>
                <w:rStyle w:val="6"/>
                <w:rFonts w:hint="default"/>
                <w:b w:val="0"/>
                <w:bCs w:val="0"/>
                <w:color w:val="auto"/>
                <w:lang w:bidi="ar"/>
              </w:rPr>
            </w:pPr>
            <w:r>
              <w:rPr>
                <w:rStyle w:val="6"/>
                <w:rFonts w:hint="default"/>
                <w:b w:val="0"/>
                <w:bCs w:val="0"/>
                <w:color w:val="auto"/>
                <w:lang w:bidi="ar"/>
              </w:rPr>
              <w:t>2.申请人所提交的预登记信息确保与到号办理时提交的办证信息一致，若不一致的，申请人应重新登记轮候；</w:t>
            </w:r>
          </w:p>
          <w:p w14:paraId="13E0B6C1">
            <w:pPr>
              <w:widowControl/>
              <w:ind w:firstLine="480" w:firstLineChars="200"/>
              <w:jc w:val="left"/>
              <w:textAlignment w:val="center"/>
              <w:rPr>
                <w:rStyle w:val="6"/>
                <w:rFonts w:hint="default"/>
                <w:b w:val="0"/>
                <w:bCs w:val="0"/>
                <w:color w:val="auto"/>
                <w:lang w:bidi="ar"/>
              </w:rPr>
            </w:pPr>
            <w:r>
              <w:rPr>
                <w:rStyle w:val="6"/>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14:paraId="671CE28F">
            <w:pPr>
              <w:widowControl/>
              <w:ind w:firstLine="482" w:firstLineChars="200"/>
              <w:jc w:val="left"/>
              <w:textAlignment w:val="center"/>
              <w:rPr>
                <w:rFonts w:ascii="宋体" w:hAnsi="宋体" w:cs="宋体"/>
                <w:b/>
                <w:bCs/>
                <w:sz w:val="24"/>
              </w:rPr>
            </w:pPr>
            <w:r>
              <w:rPr>
                <w:rStyle w:val="6"/>
                <w:rFonts w:hint="default"/>
                <w:color w:val="auto"/>
                <w:lang w:bidi="ar"/>
              </w:rPr>
              <w:t>申请人或代理人（签名或印章）：</w:t>
            </w:r>
            <w:r>
              <w:rPr>
                <w:rStyle w:val="7"/>
                <w:rFonts w:hint="default"/>
                <w:color w:val="auto"/>
                <w:lang w:bidi="ar"/>
              </w:rPr>
              <w:t xml:space="preserve">        </w:t>
            </w:r>
            <w:r>
              <w:rPr>
                <w:rStyle w:val="6"/>
                <w:rFonts w:hint="default"/>
                <w:color w:val="auto"/>
                <w:lang w:bidi="ar"/>
              </w:rPr>
              <w:t xml:space="preserve">                                                                         </w:t>
            </w:r>
          </w:p>
        </w:tc>
      </w:tr>
      <w:tr w14:paraId="656EF498">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B444F">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BFD46">
            <w:pPr>
              <w:jc w:val="center"/>
              <w:rPr>
                <w:rFonts w:ascii="宋体" w:hAnsi="宋体" w:cs="宋体"/>
                <w:b/>
                <w:bCs/>
                <w:sz w:val="24"/>
              </w:rPr>
            </w:pPr>
          </w:p>
        </w:tc>
      </w:tr>
    </w:tbl>
    <w:p w14:paraId="0FD3708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A7A2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01E28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401E28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BF522"/>
    <w:multiLevelType w:val="multilevel"/>
    <w:tmpl w:val="6D1BF522"/>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A12F7"/>
    <w:rsid w:val="09962DB5"/>
    <w:rsid w:val="351A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b/>
      <w:bCs/>
      <w:color w:val="000000"/>
      <w:sz w:val="24"/>
      <w:szCs w:val="24"/>
      <w:u w:val="none"/>
    </w:rPr>
  </w:style>
  <w:style w:type="character" w:customStyle="1" w:styleId="7">
    <w:name w:val="font21"/>
    <w:basedOn w:val="5"/>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1483</Words>
  <Characters>1486</Characters>
  <Lines>0</Lines>
  <Paragraphs>0</Paragraphs>
  <TotalTime>0</TotalTime>
  <ScaleCrop>false</ScaleCrop>
  <LinksUpToDate>false</LinksUpToDate>
  <CharactersWithSpaces>1567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2024-12-31T02:01:00Z</dcterms:created>
  <dc:creator>tgl（良）</dc:creator>
  <cp:lastModifiedBy>tgl（良）</cp:lastModifiedBy>
  <dcterms:modified xsi:type="dcterms:W3CDTF">2024-12-31T02:04:35Z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09500714496949CB92BD0B9A285FF419_11</vt:lpwstr>
  </property>
  <property fmtid="{D5CDD505-2E9C-101B-9397-08002B2CF9AE}" pid="4" name="KSOTemplateDocerSaveRecord">
    <vt:lpwstr>eyJoZGlkIjoiZWU3ZTU1ZDdkZjRjMmE4MjYwMzYxMzdmZTI5NmViZDciLCJ1c2VySWQiOiIzMTMzODU3MDQifQ==</vt:lpwstr>
  </property>
</Properties>
</file>