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1C647">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val="en-US" w:eastAsia="zh-CN"/>
        </w:rPr>
        <w:t>易制毒化学品购买许可</w:t>
      </w:r>
    </w:p>
    <w:p w14:paraId="32DB091E">
      <w:pPr>
        <w:pStyle w:val="2"/>
        <w:rPr>
          <w:rFonts w:hint="eastAsia" w:ascii="方正仿宋_GBK" w:hAnsi="方正仿宋_GBK" w:eastAsia="方正仿宋_GBK" w:cs="方正仿宋_GBK"/>
          <w:sz w:val="32"/>
          <w:szCs w:val="32"/>
          <w:lang w:eastAsia="zh-CN"/>
        </w:rPr>
      </w:pPr>
    </w:p>
    <w:p w14:paraId="34567F1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54B9E0C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1832BD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易制毒化学品购买许可（除第一类中的药品类易制毒化学品外）【00010913400Y</w:t>
      </w:r>
      <w:r>
        <w:rPr>
          <w:rFonts w:ascii="Times New Roman" w:hAnsi="Times New Roman" w:eastAsia="方正小标宋_GBK"/>
          <w:color w:val="000000"/>
          <w:sz w:val="32"/>
          <w:szCs w:val="32"/>
        </w:rPr>
        <w:t>】</w:t>
      </w:r>
      <w:bookmarkStart w:id="0" w:name="_GoBack"/>
      <w:bookmarkEnd w:id="0"/>
    </w:p>
    <w:p w14:paraId="75BF1F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4A0D008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购买第三类易制毒化学品许可【</w:t>
      </w:r>
      <w:r>
        <w:rPr>
          <w:rFonts w:hint="default" w:ascii="Times New Roman" w:hAnsi="Times New Roman" w:eastAsia="宋体" w:cs="Times New Roman"/>
          <w:kern w:val="2"/>
          <w:sz w:val="32"/>
          <w:szCs w:val="32"/>
          <w:lang w:val="en-US" w:eastAsia="zh-CN" w:bidi="ar-SA"/>
        </w:rPr>
        <w:t>000109134003</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b w:val="0"/>
          <w:bCs w:val="0"/>
          <w:color w:val="000000"/>
          <w:sz w:val="32"/>
          <w:szCs w:val="32"/>
          <w:lang w:eastAsia="zh-CN"/>
        </w:rPr>
        <w:t>购买第二类易制毒化学品许可</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000109134002</w:t>
      </w:r>
      <w:r>
        <w:rPr>
          <w:rFonts w:ascii="Times New Roman" w:hAnsi="Times New Roman" w:eastAsia="方正小标宋_GBK"/>
          <w:color w:val="000000"/>
          <w:sz w:val="32"/>
          <w:szCs w:val="32"/>
        </w:rPr>
        <w:t>】</w:t>
      </w:r>
    </w:p>
    <w:p w14:paraId="46D9FEB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7C4B5543">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易制毒化学品购买许可（除第一类中的药品类易制毒化学品外）【00010913400Y</w:t>
      </w:r>
      <w:r>
        <w:rPr>
          <w:rFonts w:ascii="Times New Roman" w:hAnsi="Times New Roman" w:eastAsia="方正小标宋_GBK"/>
          <w:color w:val="000000"/>
          <w:sz w:val="32"/>
          <w:szCs w:val="32"/>
        </w:rPr>
        <w:t>】</w:t>
      </w:r>
    </w:p>
    <w:p w14:paraId="1F28C0A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4B65952A">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《中华人民共和国禁毒法》第二十一条</w:t>
      </w:r>
    </w:p>
    <w:p w14:paraId="366E5F7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43F37BC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《易制毒化学品管理条例》第十七条</w:t>
      </w:r>
    </w:p>
    <w:p w14:paraId="1E7D474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09E904B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《易制毒化学品管理条例》第十七条</w:t>
      </w:r>
    </w:p>
    <w:p w14:paraId="72C3141A">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2135BD96">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792DB2FA">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AE06E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32322C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8675DB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415C57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F1C30C0">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易制毒化学品购买许可</w:t>
      </w:r>
    </w:p>
    <w:p w14:paraId="172A39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131FAB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68AB74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690BF198">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0AD7296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（1）经营企业提交企业营业执照和合法使用需要证明；</w:t>
      </w:r>
    </w:p>
    <w:p w14:paraId="7B63B5D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val="0"/>
          <w:bCs w:val="0"/>
          <w:strike w:val="0"/>
          <w:dstrike w:val="0"/>
          <w:color w:val="auto"/>
          <w:sz w:val="32"/>
          <w:szCs w:val="32"/>
          <w:lang w:val="en-US" w:eastAsia="zh-CN"/>
        </w:rPr>
        <w:t>（2）其他组织提交登记证书（成立批准文件）和合法使用需要证明。</w:t>
      </w:r>
    </w:p>
    <w:p w14:paraId="19663A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C203366">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（一）服务对象类型：准营准办</w:t>
      </w:r>
    </w:p>
    <w:p w14:paraId="2A76019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785C92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购买第二类、第三类易制毒化学品许可</w:t>
      </w:r>
    </w:p>
    <w:p w14:paraId="03C90E6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（四）许可证件名称：第二类、第三类易制毒化学品购买备案证明</w:t>
      </w:r>
    </w:p>
    <w:p w14:paraId="0EAD110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130547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06C5E04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在实现易制毒化学品许可备案网上办理的基础上，会同相关部门大力推进“互联网+监管”，建立易制毒化学品企业“双随机、一公开”监管机制。</w:t>
      </w:r>
    </w:p>
    <w:p w14:paraId="0C3063CA">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0ABB43C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是加强购买、运输环节监管。各级公安机关对本部门审批的易制毒化学品购买、运输许可证或备案证明的使用情况加强事中事后监管，要求运输企业或个人按照实际运输路线申请运输许可证或备案证明。督促易制毒化学品购买、运输单位落实入库、出库登记制度，在购买、运输活动结束后及时核销许可证或备案证明。发挥公安交管部门与公安检查站的作用，加大对非法运输易制毒化学品的查缉力度。二是加强使用环节监管。各级公安、应急管理等部门加强易制毒化学品使用单位的监管，重点监督使用单位落实易制毒化学品安全管理制度、使用出库报备制度，对其投料、产出情况进行信息研判，严防易制毒化学品被挪作他用。三是加强网上监管。各级公安、网信等部门建立易制毒化学品网上信息发布制度，指导网络运营者健全管理责任制及内部巡查工作机制，提升管理水平。加大对重点化工平台、即时通讯群组、社交网站、微博客等的巡查监控，要求网络运营者及时发现、删除违规发布的易制毒化学品信息，对异常行为和可疑线索落地查控。四是加强物流寄递管制。各级邮政管理、交通运输、公安等部门建立寄递业、相关道路物流业联动查缉机制。按照有关规定，对不实名登记、包装标识不清、物证不符的易制毒化学品，要求物流运营单位不得承运，并应立即向公安机关报告。五是建立易制毒化学品信息化追溯体系。依托全国易制毒化学品网上报备管理系统以及有关部门易制毒化学品管理信息系统，综合利用电子标签、大数据、物联网、人工智能、工业互联网标识等新技术新手段，对易制毒化学品生产、购销、仓储、运输、使用和进口等各环节进行全过程信息化管理和监控，健全最终用户审查和核验核销核查工作机制，提升易制毒化学品管理信息化、标准化、集约化水平。</w:t>
      </w:r>
    </w:p>
    <w:p w14:paraId="1D0C4F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4CF8A1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7E22B19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经营企业的营业执照（副本和复印件），其他组织的登记证书或者成立批准文件（原件和复印件），或者个人的身份证明（原件和复印件）；（2）合法使用需要证明（原件）。合法使用需要证明由购买单位或者个人出具，注明拟购买易制毒化学品的品种、数量和用途，并加盖购买单位印章或者个人签名。</w:t>
      </w:r>
    </w:p>
    <w:p w14:paraId="30E6CE2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3FA0C91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易制毒化学品管理条例》（2005年8月26日国务院令第445号，2016年2月6日予以修改）第十七条：购买第二类、第三类易制毒化学品的，应当在购买前将所需购买的品种、数量，向所在地的县级人民政府公安机关备案。</w:t>
      </w:r>
    </w:p>
    <w:p w14:paraId="1D043C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1BE403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2C3827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4B909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E66145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EF8804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CC630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6C833476">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1）申请人申请</w:t>
      </w:r>
    </w:p>
    <w:p w14:paraId="25A8AFEA">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（2）审批机构受理/不予受理</w:t>
      </w:r>
    </w:p>
    <w:p w14:paraId="72E5BF15">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（3）审批机构审查</w:t>
      </w:r>
    </w:p>
    <w:p w14:paraId="358C7976">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（4）决定核发备案证明/不予核发备案证明</w:t>
      </w:r>
    </w:p>
    <w:p w14:paraId="43A8ECA1">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65ECA957">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《易制毒化学品管理条例》第十七条:购买第二类、第三类易制毒化学品的，应当在购买前将所需购买的品种、数量，向所在地的县级人民政府公安机关备案。个人自用购买少量高锰酸钾的，无须备案。 </w:t>
      </w:r>
    </w:p>
    <w:p w14:paraId="6CC9B579">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《易制毒化学品购销和运输管理办法》第五条:申请购买第一类中的非药品类易制毒化学品和第二类、第三类易制毒化学品的，应当提交下列申请材料： </w:t>
      </w:r>
    </w:p>
    <w:p w14:paraId="75485B45">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（一）经营企业的营业执照（副本和复印件），其他组织的登记证书或者成立批准文件（原件和复印件），或者个人的身份证明（原件和复印件）； </w:t>
      </w:r>
    </w:p>
    <w:p w14:paraId="59EBB218">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（二）合法使用需要证明（原件）。 </w:t>
      </w:r>
    </w:p>
    <w:p w14:paraId="3012FEDF">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合法使用需要证明由购买单位或者个人出具，注明拟购买易制毒化学品的品种、数量和用途，并加盖购买单位印章或者个人签名。</w:t>
      </w:r>
    </w:p>
    <w:p w14:paraId="72C878B0">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易制毒化学品购销和运输管理办法》第八条:购买第二类、第三类易制毒化学品的，应当在购买前将所需购买的品种、数量，向所在地的县级人民政府公安机关备案。公安机关受理备案后，应当于当日出具购买备案证明。 </w:t>
      </w:r>
    </w:p>
    <w:p w14:paraId="6ABD4124">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自用一次性购买5公斤以下且年用量50公斤以下高锰酸钾的，无须备案。</w:t>
      </w:r>
    </w:p>
    <w:p w14:paraId="5E83C3D8">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05EFB0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1</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657C6E0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1</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7C84320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《易制毒化学品管理条例》第十七条:购买第二类、第三类易制毒化学品的，应当在购买前将所需购买的品种、数量，向所在地的县级人民政府公安机关备案。个人自用购买少量高锰酸钾的，无须备案。</w:t>
      </w:r>
    </w:p>
    <w:p w14:paraId="6DCE305C">
      <w:pPr>
        <w:pStyle w:val="2"/>
        <w:rPr>
          <w:rFonts w:hint="eastAsia"/>
          <w:lang w:val="en-US" w:eastAsia="zh-CN"/>
        </w:rPr>
      </w:pPr>
      <w:r>
        <w:rPr>
          <w:rFonts w:hint="eastAsia"/>
          <w:lang w:val="en-US" w:eastAsia="zh-CN"/>
        </w:rPr>
        <w:t>《易制毒化学品购销和运输管理办法》第八条：购买第二类、第三类易制毒化学品的，应当在购买前将所需购买的品种、数量，向所在地的县级人民政府公安机关备案。公安机关受理备案后，应当于当日出具购买备案证明。</w:t>
      </w:r>
    </w:p>
    <w:p w14:paraId="4A3E566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764A285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15C0D2B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7EBB05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A55887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05C4E0C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第二类、第三类易制毒化学品购买备案证明</w:t>
      </w:r>
    </w:p>
    <w:p w14:paraId="18BA147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（三）审批结果的有效期限：1</w:t>
      </w:r>
      <w:r>
        <w:rPr>
          <w:rFonts w:hint="eastAsia" w:ascii="方正仿宋_GBK" w:hAnsi="方正仿宋_GBK" w:eastAsia="方正仿宋_GBK" w:cs="方正仿宋_GBK"/>
          <w:b w:val="0"/>
          <w:bCs w:val="0"/>
          <w:strike w:val="0"/>
          <w:dstrike w:val="0"/>
          <w:color w:val="auto"/>
          <w:sz w:val="32"/>
          <w:szCs w:val="32"/>
          <w:lang w:val="en-US" w:eastAsia="zh-CN"/>
        </w:rPr>
        <w:t>个月</w:t>
      </w:r>
    </w:p>
    <w:p w14:paraId="3C9A8E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7EAD0BD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《易制毒化学品购销和运输管理办法》第九条，易制毒化学品购买备案证明一次使用有效，有效期1个月。对备案后1年内无违规行为的单位，可以发给多次使用有效地备案证明，有效期6个月。</w:t>
      </w:r>
    </w:p>
    <w:p w14:paraId="181B2E2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对个人购买的，只办理一次使用有效地备案证明。</w:t>
      </w:r>
    </w:p>
    <w:p w14:paraId="4ADCDBD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33C5FAC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477E83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01A3D9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053A591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1AA84CC1">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5B11CC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1FBAD79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3A7414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CFD3A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6D9C5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368C92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《易制毒化学品管理条例》</w:t>
      </w:r>
    </w:p>
    <w:p w14:paraId="6AA74DF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12D1F0C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33B51B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668B4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230E859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0BDC33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7D490B9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4DD253F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F2E68A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EA7EDD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746DC6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1FF27E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本单位上年度易制毒化学品的生产、经营、购买、运输或者进口、出口。</w:t>
      </w:r>
    </w:p>
    <w:p w14:paraId="3263D48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《易制毒化学品管理条例》</w:t>
      </w:r>
    </w:p>
    <w:p w14:paraId="4BA605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1年</w:t>
      </w:r>
    </w:p>
    <w:p w14:paraId="1FB95EA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39C5F2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3EBD4AE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1DB16D90"/>
    <w:rsid w:val="24821172"/>
    <w:rsid w:val="3A5205D8"/>
    <w:rsid w:val="44AD5E1B"/>
    <w:rsid w:val="597C3CA8"/>
    <w:rsid w:val="751D0D21"/>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3167</Words>
  <Characters>3221</Characters>
  <Lines>0</Lines>
  <Paragraphs>0</Paragraphs>
  <TotalTime>22</TotalTime>
  <ScaleCrop>false</ScaleCrop>
  <LinksUpToDate>false</LinksUpToDate>
  <CharactersWithSpaces>3226</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1B09849B4DEF416D9FA23A3A13DC25C3</vt:lpwstr>
  </property>
  <property fmtid="{D5CDD505-2E9C-101B-9397-08002B2CF9AE}" pid="4" name="KSOTemplateDocerSaveRecord">
    <vt:lpwstr>eyJoZGlkIjoiOGZhZTgzZjdjNjg3NWQ4MTc0Mzc3ZDRiYzgzNzc0ZDEifQ==</vt:lpwstr>
  </property>
</Properties>
</file>